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00" w:before="0"/>
      </w:pPr>
      <w:r>
        <w:t xml:space="preserve">Инструкция по работе с ЛК «Платежи»</w:t>
      </w:r>
    </w:p>
    <w:p>
      <w:pPr>
        <w:pStyle w:val="Heading2"/>
        <w:keepNext/>
        <w:spacing w:after="100" w:before="200"/>
      </w:pPr>
      <w:r>
        <w:t xml:space="preserve">Вход в личный кабинет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1. Перейдите по адресу: http://pay.niakk.ru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2. Авторизуйтесь через ЕСИА удобным для Вас способом.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3. Выберите необходимую организацию:</w:t>
      </w:r>
    </w:p>
    <w:p>
      <w:pPr>
        <w:spacing w:after="120"/>
        <w:jc w:val="center"/>
      </w:pPr>
      <w:r>
        <w:drawing>
          <wp:inline distT="0" distB="0" distL="0" distR="0">
            <wp:extent cx="457200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keepNext/>
        <w:spacing w:after="100" w:before="200"/>
      </w:pPr>
      <w:r>
        <w:t xml:space="preserve">Выбор роли и заполнение данных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4. После выбора организации выберите Вашу роль: для аккредитованных лиц — аттестат аккредитации, для работы в СРД — «Заявитель».</w:t>
      </w:r>
    </w:p>
    <w:p>
      <w:pPr>
        <w:spacing w:after="120"/>
        <w:jc w:val="center"/>
      </w:pPr>
      <w:r>
        <w:drawing>
          <wp:inline distT="0" distB="0" distL="0" distR="0">
            <wp:extent cx="4286250" cy="2514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5. Если данные об организации не заполнены, то необходимо их внести. Заполните все обязательные поля, представленные в форме.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Если Вы проходите авторизацию первый раз и до этого никогда не входили в ЛК «Платежи», Вам необходимо будет заполнить данные о своей организации.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После нажатия на кнопку «Отправить» Вы подтверждаете согласие с условиями оферты. Данное действие будет являться подтверждением заключения договора.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Идентификатор участника электронного оборота заполняется в том случае, если Вы работаете с электронным документооборотом; если нет — заполните почтовый адрес.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Если Вы заполните данные неверно и их отправите, могут возникнуть проблемы с начислением платежей. Внимательно проверьте корректность заполненных данных перед отправкой.</w:t>
      </w:r>
    </w:p>
    <w:p>
      <w:pPr>
        <w:spacing w:after="120"/>
        <w:jc w:val="center"/>
      </w:pPr>
      <w:r>
        <w:drawing>
          <wp:inline distT="0" distB="0" distL="0" distR="0">
            <wp:extent cx="3619500" cy="6153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keepNext/>
        <w:spacing w:after="100" w:before="200"/>
      </w:pPr>
      <w:r>
        <w:t xml:space="preserve">Структура личного кабинета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6. Если данные об организации заполнены или Вы уже их заполнили и отправили, Вы попадаете в ЛК «Платежи» на страницу «Документы».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7. В личном кабинете ЛК «Платежи» представлены три блока: «Документы», «История операций», «Данные».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В блоке «Документы» хранится история формирования Ваших счетов на оплату.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В блоке «История операций» представлена информация: списание, пополнение, возврат. В данном блоке можно отслеживать операции, которые Вы совершаете с денежными средствами.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В блоке «Данные» хранится информация о реквизитах Вашей организации.</w:t>
      </w:r>
    </w:p>
    <w:p>
      <w:pPr>
        <w:spacing w:after="120"/>
        <w:jc w:val="center"/>
      </w:pPr>
      <w:r>
        <w:drawing>
          <wp:inline distT="0" distB="0" distL="0" distR="0">
            <wp:extent cx="4191000" cy="5876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191000" cy="4991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keepNext/>
        <w:spacing w:after="100" w:before="200"/>
      </w:pPr>
      <w:r>
        <w:t xml:space="preserve">Оплата счёта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8. Для того чтобы произвести оплату, необходимо: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1) Перейти в раздел «Документы» и нажать на кнопку «Создать счет»;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2) Ввести сумму, на которую Вы планируете пополнить счет, и нажать кнопку «Сформировать».</w:t>
      </w:r>
    </w:p>
    <w:p>
      <w:pPr>
        <w:spacing w:after="120"/>
        <w:jc w:val="center"/>
      </w:pPr>
      <w:r>
        <w:drawing>
          <wp:inline distT="0" distB="0" distL="0" distR="0">
            <wp:extent cx="4191000" cy="551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3) Сформируется счет на оплату, который Вы можете скачать в формате PDF: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В назначении платежа обязательно должен быть указан номер лицевого счета. Если его не указать при оплате, деньги не зачислятся.</w:t>
      </w:r>
    </w:p>
    <w:p>
      <w:pPr>
        <w:spacing w:after="120"/>
        <w:jc w:val="center"/>
      </w:pPr>
      <w:r>
        <w:drawing>
          <wp:inline distT="0" distB="0" distL="0" distR="0">
            <wp:extent cx="4095750" cy="5934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keepNext/>
        <w:spacing w:after="100" w:before="200"/>
      </w:pPr>
      <w:r>
        <w:t xml:space="preserve">Зачисление средств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4) Счет на оплату Вам необходимо провести через бухгалтерию Вашей организации или иным способом, который у Вас есть для оплаты и зачисления денежных средств.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5) Скорость зачисления средств на счет зависит от банка плательщика. ФАУ НИА работает со Сбербанком, который зачисляет деньги в течение 1 рабочего дня. Валюта — рубли.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По факту поступления денежных средств в Вашем личном кабинете они будут отображены вверху страницы с правой стороны. Также пополнение денежных средств будет отражено в разделе «История операций» при выборе операции «Пополнение».</w:t>
      </w:r>
    </w:p>
    <w:p>
      <w:pPr>
        <w:spacing w:after="120"/>
        <w:jc w:val="center"/>
      </w:pPr>
      <w:r>
        <w:drawing>
          <wp:inline distT="0" distB="0" distL="0" distR="0">
            <wp:extent cx="4191000" cy="6372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keepNext/>
        <w:spacing w:after="100" w:before="200"/>
      </w:pPr>
      <w:r>
        <w:t xml:space="preserve">Списание при регистрации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6) После регистрации декларации о соответствии или публикации сертификата соответствия необходимая сумма спишется автоматически в момент внесения записи в Реестр выданных сертификатов соответствия и зарегистрированных деклараций о соответствии: https://pub.fsa.gov.ru/rss/certificate, https://pub.fsa.gov.ru/rds/declaration.</w:t>
      </w:r>
    </w:p>
    <w:p>
      <w:pPr>
        <w:spacing w:after="140"/>
        <w:ind w:firstLine="0"/>
      </w:pPr>
      <w:r>
        <w:rPr>
          <w:b w:val="false"/>
          <w:bCs w:val="false"/>
          <w:i w:val="false"/>
          <w:iCs w:val="false"/>
        </w:rPr>
        <w:t xml:space="preserve">Данная операция будет также отражена в блоке «История операций» — «Списание».</w:t>
      </w:r>
    </w:p>
    <w:p>
      <w:pPr>
        <w:spacing w:after="120"/>
        <w:jc w:val="center"/>
      </w:pPr>
      <w:r>
        <w:drawing>
          <wp:inline distT="0" distB="0" distL="0" distR="0">
            <wp:extent cx="4191000" cy="5857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keepNext/>
        <w:spacing w:after="100" w:before="200"/>
      </w:pPr>
      <w:r>
        <w:t xml:space="preserve">Полезные ссылки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О порядке, случаях и размерах платы за внесение сведений в реестры — Вопросы и ответы: https://niakk.ru/it-deyatelnost/publikatsiya-sertifikatov-i-deklaratsiy/voprosy-i-otvety/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Форма договора на оказание услуг по внесению сведений в реестр выданных сертификатов соответствия и зарегистрированных деклараций о соответствии в форме публичной оферты: https://niakk.ru/it-deyatelnost/publikatsiya-sertifikatov-i-deklaratsiy/formy-dogovorov/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1F3552"/>
      <w:sz w:val="36"/>
      <w:szCs w:val="36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F3552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Calibri" w:cs="Calibri" w:eastAsia="Calibri" w:hAnsi="Calibri"/>
      <w:b/>
      <w:bCs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92fa4ad83b68330ce6ab72b033d39531744c793.png"/><Relationship Id="rId8" Type="http://schemas.openxmlformats.org/officeDocument/2006/relationships/image" Target="media/2798870b251aeb647c39dafd33f32dae20472e5b.png"/><Relationship Id="rId9" Type="http://schemas.openxmlformats.org/officeDocument/2006/relationships/image" Target="media/197531bece001729022db1fb636b5aa48d957235.png"/><Relationship Id="rId10" Type="http://schemas.openxmlformats.org/officeDocument/2006/relationships/image" Target="media/d08eea10e2f2dffec6f5f9204d1e2e52a11befd6.png"/><Relationship Id="rId11" Type="http://schemas.openxmlformats.org/officeDocument/2006/relationships/image" Target="media/3add441e8d6cf33b1dd13e51b7465be4b2c56f6c.png"/><Relationship Id="rId12" Type="http://schemas.openxmlformats.org/officeDocument/2006/relationships/image" Target="media/41460d17ed1d46d139d26104ce9cd5ed339f649b.png"/><Relationship Id="rId13" Type="http://schemas.openxmlformats.org/officeDocument/2006/relationships/image" Target="media/aaf6b70d1e49324576641344040a9748763acc97.png"/><Relationship Id="rId14" Type="http://schemas.openxmlformats.org/officeDocument/2006/relationships/image" Target="media/4c6d9b642815a3ef7f12d016010a1e3d28306a0a.png"/><Relationship Id="rId15" Type="http://schemas.openxmlformats.org/officeDocument/2006/relationships/image" Target="media/8639babc4d4095edf3a44025713fa4d972f075b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работе с ЛК «Платежи»</dc:title>
  <dc:creator>MultiTool</dc:creator>
  <cp:lastModifiedBy>Un-named</cp:lastModifiedBy>
  <cp:revision>1</cp:revision>
  <dcterms:created xsi:type="dcterms:W3CDTF">2026-10-18T23:39:39.559Z</dcterms:created>
  <dcterms:modified xsi:type="dcterms:W3CDTF">2026-10-18T23:39:39.560Z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