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spacing w:after="100" w:before="0"/>
      </w:pPr>
      <w:r>
        <w:t xml:space="preserve">Инструкция по подписанию декларации о соответствии ТР ТС в новом интерфейсе ФГИС Росаккредитации</w:t>
      </w:r>
    </w:p>
    <w:p>
      <w:pPr>
        <w:spacing w:after="140"/>
        <w:ind w:firstLine="0"/>
      </w:pPr>
      <w:r>
        <w:rPr>
          <w:b w:val="false"/>
          <w:bCs w:val="false"/>
          <w:i w:val="false"/>
          <w:iCs w:val="false"/>
        </w:rPr>
        <w:t xml:space="preserve">Декларация уже выгружена в черновик. Ваша задача — пройти все разделы до конца и подписать.</w:t>
      </w:r>
    </w:p>
    <w:p>
      <w:pPr>
        <w:pStyle w:val="Heading2"/>
        <w:keepNext/>
        <w:spacing w:after="100" w:before="200"/>
      </w:pPr>
      <w:r>
        <w:t xml:space="preserve">1. Подготовка рабочего места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Компьютер на Windows. На macOS работа госпорталов не гарантируется.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Установлен КриптоПро CSP с активной лицензией.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УКЭП на руководителя организации или ИП — действующая, токен вставлен.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Установлен плагин «КриптоПро ЭЦП Browser plug-in» или IFSPlugin.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Браузер: Яндекс.Браузер или Chromium-Gost. В Google Chrome возможны проблемы с криптоплагинами.</w:t>
      </w:r>
    </w:p>
    <w:p>
      <w:pPr>
        <w:pStyle w:val="Heading2"/>
        <w:keepNext/>
        <w:spacing w:after="100" w:before="200"/>
      </w:pPr>
      <w:r>
        <w:t xml:space="preserve">2. Вход в личный кабинет</w:t>
      </w:r>
    </w:p>
    <w:p>
      <w:pPr>
        <w:spacing w:after="140"/>
        <w:ind w:firstLine="0"/>
      </w:pPr>
      <w:r>
        <w:rPr>
          <w:b w:val="false"/>
          <w:bCs w:val="false"/>
          <w:i w:val="false"/>
          <w:iCs w:val="false"/>
        </w:rPr>
        <w:t xml:space="preserve">1. Зайдите на портал Госуслуг (gosuslugi.ru) под учётной записью руководителя.</w:t>
      </w:r>
    </w:p>
    <w:p>
      <w:pPr>
        <w:spacing w:after="140"/>
        <w:ind w:firstLine="0"/>
      </w:pPr>
      <w:r>
        <w:rPr>
          <w:b w:val="false"/>
          <w:bCs w:val="false"/>
          <w:i w:val="false"/>
          <w:iCs w:val="false"/>
        </w:rPr>
        <w:t xml:space="preserve">2. В правом верхнем углу нажмите на иконку профиля → выберите «Войти как организация» → укажите ваше юридическое лицо или ИП.</w:t>
      </w:r>
    </w:p>
    <w:p>
      <w:pPr>
        <w:spacing w:after="140"/>
        <w:ind w:firstLine="0"/>
      </w:pPr>
      <w:r>
        <w:rPr>
          <w:b w:val="false"/>
          <w:bCs w:val="false"/>
          <w:i w:val="false"/>
          <w:iCs w:val="false"/>
        </w:rPr>
        <w:t xml:space="preserve">3. Перейдите на сайт srd.fsa.gov.ru (Сервис регистрации деклараций).</w:t>
      </w:r>
    </w:p>
    <w:p>
      <w:pPr>
        <w:spacing w:after="140"/>
        <w:ind w:firstLine="0"/>
      </w:pPr>
      <w:r>
        <w:rPr>
          <w:b w:val="false"/>
          <w:bCs w:val="false"/>
          <w:i w:val="false"/>
          <w:iCs w:val="false"/>
        </w:rPr>
        <w:t xml:space="preserve">4. Нажмите кнопку «Войти» — авторизация через ЕСИА (Госуслуги).</w:t>
      </w:r>
    </w:p>
    <w:p>
      <w:pPr>
        <w:pStyle w:val="Heading2"/>
        <w:keepNext/>
        <w:spacing w:after="100" w:before="200"/>
      </w:pPr>
      <w:r>
        <w:t xml:space="preserve">3. Черновик сразу виден</w:t>
      </w:r>
    </w:p>
    <w:p>
      <w:pPr>
        <w:spacing w:after="140"/>
        <w:ind w:firstLine="0"/>
      </w:pPr>
      <w:r>
        <w:rPr>
          <w:b w:val="false"/>
          <w:bCs w:val="false"/>
          <w:i w:val="false"/>
          <w:iCs w:val="false"/>
        </w:rPr>
        <w:t xml:space="preserve">После успешного входа на главной странице личного кабинета отображается список деклараций. Ваш черновик находится в статусе «Черновик» — обычно в начале списка. Дополнительно можно задать фильтр по статусу «Черновик».</w:t>
      </w:r>
    </w:p>
    <w:p>
      <w:pPr>
        <w:pStyle w:val="Heading2"/>
        <w:keepNext/>
        <w:spacing w:after="100" w:before="200"/>
      </w:pPr>
      <w:r>
        <w:t xml:space="preserve">4. Пройти все разделы до конца</w:t>
      </w:r>
    </w:p>
    <w:p>
      <w:pPr>
        <w:spacing w:after="140"/>
        <w:ind w:firstLine="0"/>
      </w:pPr>
      <w:r>
        <w:rPr>
          <w:b w:val="false"/>
          <w:bCs w:val="false"/>
          <w:i w:val="false"/>
          <w:iCs w:val="false"/>
        </w:rPr>
        <w:t xml:space="preserve">Откройте черновик кликом по нему. Новый интерфейс ведёт поэтапно через все разделы декларации слева направо. На каждом шаге нажимайте «Сохранить и продолжить» — данные уже загружены, менять их не нужно (кнопка далее в нижнем правом углу).</w:t>
      </w:r>
    </w:p>
    <w:tbl>
      <w:tblPr>
        <w:tblW w:type="pct" w:w="100%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8%"/>
            <w:shd w:fill="EDF1F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№</w:t>
            </w:r>
          </w:p>
        </w:tc>
        <w:tc>
          <w:tcPr>
            <w:tcW w:type="pct" w:w="32%"/>
            <w:shd w:fill="EDF1F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Раздел</w:t>
            </w:r>
          </w:p>
        </w:tc>
        <w:tc>
          <w:tcPr>
            <w:tcW w:type="pct" w:w="60%"/>
            <w:shd w:fill="EDF1F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Что проверять</w:t>
            </w:r>
          </w:p>
        </w:tc>
      </w:tr>
      <w:tr>
        <w:trPr>
          <w:tblHeader w:val="false"/>
        </w:trPr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</w:rPr>
              <w:t xml:space="preserve">1</w:t>
            </w:r>
          </w:p>
        </w:tc>
        <w:tc>
          <w:tcPr>
            <w:tcW w:type="pct" w:w="3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</w:rPr>
              <w:t xml:space="preserve">Общие сведения</w:t>
            </w:r>
          </w:p>
        </w:tc>
        <w:tc>
          <w:tcPr>
            <w:tcW w:type="pct" w:w="6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</w:rPr>
              <w:t xml:space="preserve">Тип декларации, сведения о регистрации</w:t>
            </w:r>
          </w:p>
        </w:tc>
      </w:tr>
      <w:tr>
        <w:trPr>
          <w:tblHeader w:val="false"/>
        </w:trPr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</w:rPr>
              <w:t xml:space="preserve">2</w:t>
            </w:r>
          </w:p>
        </w:tc>
        <w:tc>
          <w:tcPr>
            <w:tcW w:type="pct" w:w="3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</w:rPr>
              <w:t xml:space="preserve">Заявитель</w:t>
            </w:r>
          </w:p>
        </w:tc>
        <w:tc>
          <w:tcPr>
            <w:tcW w:type="pct" w:w="6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</w:rPr>
              <w:t xml:space="preserve">Данные подтягиваются из ЕСИА — проверить</w:t>
            </w:r>
          </w:p>
        </w:tc>
      </w:tr>
      <w:tr>
        <w:trPr>
          <w:tblHeader w:val="false"/>
        </w:trPr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</w:rPr>
              <w:t xml:space="preserve">3</w:t>
            </w:r>
          </w:p>
        </w:tc>
        <w:tc>
          <w:tcPr>
            <w:tcW w:type="pct" w:w="3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</w:rPr>
              <w:t xml:space="preserve">Изготовитель</w:t>
            </w:r>
          </w:p>
        </w:tc>
        <w:tc>
          <w:tcPr>
            <w:tcW w:type="pct" w:w="6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</w:rPr>
              <w:t xml:space="preserve">Если применимо</w:t>
            </w:r>
          </w:p>
        </w:tc>
      </w:tr>
      <w:tr>
        <w:trPr>
          <w:tblHeader w:val="false"/>
        </w:trPr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</w:rPr>
              <w:t xml:space="preserve">4</w:t>
            </w:r>
          </w:p>
        </w:tc>
        <w:tc>
          <w:tcPr>
            <w:tcW w:type="pct" w:w="3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</w:rPr>
              <w:t xml:space="preserve">Продукция</w:t>
            </w:r>
          </w:p>
        </w:tc>
        <w:tc>
          <w:tcPr>
            <w:tcW w:type="pct" w:w="6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</w:rPr>
              <w:t xml:space="preserve">ОКПД 2, ТН ВЭД, описание продукции</w:t>
            </w:r>
          </w:p>
        </w:tc>
      </w:tr>
      <w:tr>
        <w:trPr>
          <w:tblHeader w:val="false"/>
        </w:trPr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</w:rPr>
              <w:t xml:space="preserve">5</w:t>
            </w:r>
          </w:p>
        </w:tc>
        <w:tc>
          <w:tcPr>
            <w:tcW w:type="pct" w:w="3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</w:rPr>
              <w:t xml:space="preserve">Технический регламент</w:t>
            </w:r>
          </w:p>
        </w:tc>
        <w:tc>
          <w:tcPr>
            <w:tcW w:type="pct" w:w="6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</w:rPr>
              <w:t xml:space="preserve">ТР ТС / ЕАЭС</w:t>
            </w:r>
          </w:p>
        </w:tc>
      </w:tr>
      <w:tr>
        <w:trPr>
          <w:tblHeader w:val="false"/>
        </w:trPr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</w:rPr>
              <w:t xml:space="preserve">6</w:t>
            </w:r>
          </w:p>
        </w:tc>
        <w:tc>
          <w:tcPr>
            <w:tcW w:type="pct" w:w="3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</w:rPr>
              <w:t xml:space="preserve">Схема декларирования</w:t>
            </w:r>
          </w:p>
        </w:tc>
        <w:tc>
          <w:tcPr>
            <w:tcW w:type="pct" w:w="6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</w:rPr>
              <w:t xml:space="preserve">Например, 1д, 2д, 3д и т.д.</w:t>
            </w:r>
          </w:p>
        </w:tc>
      </w:tr>
      <w:tr>
        <w:trPr>
          <w:tblHeader w:val="false"/>
        </w:trPr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</w:rPr>
              <w:t xml:space="preserve">7</w:t>
            </w:r>
          </w:p>
        </w:tc>
        <w:tc>
          <w:tcPr>
            <w:tcW w:type="pct" w:w="3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</w:rPr>
              <w:t xml:space="preserve">Доказательные материалы</w:t>
            </w:r>
          </w:p>
        </w:tc>
        <w:tc>
          <w:tcPr>
            <w:tcW w:type="pct" w:w="6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</w:rPr>
              <w:t xml:space="preserve">Протоколы испытаний и пр.</w:t>
            </w:r>
          </w:p>
        </w:tc>
      </w:tr>
      <w:tr>
        <w:trPr>
          <w:tblHeader w:val="false"/>
        </w:trPr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</w:rPr>
              <w:t xml:space="preserve">8</w:t>
            </w:r>
          </w:p>
        </w:tc>
        <w:tc>
          <w:tcPr>
            <w:tcW w:type="pct" w:w="3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</w:rPr>
              <w:t xml:space="preserve">Сведения о регистрации</w:t>
            </w:r>
          </w:p>
        </w:tc>
        <w:tc>
          <w:tcPr>
            <w:tcW w:type="pct" w:w="6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</w:rPr>
              <w:t xml:space="preserve">Завершающий раздел</w:t>
            </w:r>
          </w:p>
        </w:tc>
      </w:tr>
    </w:tbl>
    <w:p>
      <w:pPr>
        <w:spacing w:after="80"/>
      </w:pPr>
    </w:p>
    <w:p>
      <w:pPr>
        <w:pStyle w:val="Heading2"/>
        <w:keepNext/>
        <w:spacing w:after="100" w:before="200"/>
      </w:pPr>
      <w:r>
        <w:t xml:space="preserve">5. Стрелка на подпись</w:t>
      </w:r>
    </w:p>
    <w:p>
      <w:pPr>
        <w:spacing w:after="140"/>
        <w:ind w:firstLine="0"/>
      </w:pPr>
      <w:r>
        <w:rPr>
          <w:b w:val="false"/>
          <w:bCs w:val="false"/>
          <w:i w:val="false"/>
          <w:iCs w:val="false"/>
        </w:rPr>
        <w:t xml:space="preserve">После того как все разделы пройдены до конца, на последнем шаге становится активной кнопка/стрелка «Зарегистрировать» (или «Подписать и зарегистрировать»). До этого момента она неактивна.</w:t>
      </w:r>
    </w:p>
    <w:p>
      <w:pPr>
        <w:spacing w:after="140"/>
        <w:ind w:firstLine="0"/>
      </w:pPr>
      <w:r>
        <w:rPr>
          <w:b w:val="false"/>
          <w:bCs w:val="false"/>
          <w:i w:val="false"/>
          <w:iCs w:val="false"/>
        </w:rPr>
        <w:t xml:space="preserve">Порядок действий: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Нажмите «Зарегистрировать» — система сформирует печатную форму декларации.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Проверьте отображённые данные.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Нажмите «Подписать», поставьте галочку в чек-боксе подтверждения.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Выберите сертификат УКЭП из списка и подтвердите подписание.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Нажмите «Вернуться» — вкладка закроется, через несколько секунд появится сообщение об успешной публикации.</w:t>
      </w:r>
    </w:p>
    <w:p>
      <w:pPr>
        <w:pStyle w:val="Heading2"/>
        <w:keepNext/>
        <w:spacing w:after="100" w:before="200"/>
      </w:pPr>
      <w:r>
        <w:t xml:space="preserve">6. Проверка и скачивание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Вернитесь в общий список деклараций.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Установите фильтр по статусу «Действует».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Найдите вашу декларацию — статус должен быть зелёным «Действует».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Откройте её и нажмите «Скачать» — выгрузится файл в формате PDF или DOCX.</w:t>
      </w:r>
    </w:p>
    <w:p>
      <w:pPr>
        <w:pStyle w:val="Heading2"/>
        <w:keepNext/>
        <w:spacing w:after="100" w:before="200"/>
      </w:pPr>
      <w:r>
        <w:t xml:space="preserve">7. Типовые ошибки и решения</w:t>
      </w:r>
    </w:p>
    <w:tbl>
      <w:tblPr>
        <w:tblW w:type="pct" w:w="100%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42%"/>
            <w:shd w:fill="EDF1F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Проблема</w:t>
            </w:r>
          </w:p>
        </w:tc>
        <w:tc>
          <w:tcPr>
            <w:tcW w:type="pct" w:w="58%"/>
            <w:shd w:fill="EDF1F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Что делать</w:t>
            </w:r>
          </w:p>
        </w:tc>
      </w:tr>
      <w:tr>
        <w:trPr>
          <w:tblHeader w:val="false"/>
        </w:trPr>
        <w:tc>
          <w:tcPr>
            <w:tcW w:type="pct" w:w="4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</w:rPr>
              <w:t xml:space="preserve">«Плагин недоступен / не загружен»</w:t>
            </w:r>
          </w:p>
        </w:tc>
        <w:tc>
          <w:tcPr>
            <w:tcW w:type="pct" w:w="5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</w:rPr>
              <w:t xml:space="preserve">Переустановите плагин по ссылке с сайта ФСА. Используйте Яндекс.Браузер. Перезагрузите компьютер.</w:t>
            </w:r>
          </w:p>
        </w:tc>
      </w:tr>
      <w:tr>
        <w:trPr>
          <w:tblHeader w:val="false"/>
        </w:trPr>
        <w:tc>
          <w:tcPr>
            <w:tcW w:type="pct" w:w="4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</w:rPr>
              <w:t xml:space="preserve">В списке нет нужного сертификата УКЭП</w:t>
            </w:r>
          </w:p>
        </w:tc>
        <w:tc>
          <w:tcPr>
            <w:tcW w:type="pct" w:w="5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</w:rPr>
              <w:t xml:space="preserve">Проверьте, вставлен ли токен. Проверьте срок действия подписи. Переустановите сертификат через КриптоПро CSP (Сервис → Просмотреть сертификаты в контейнере → Установить).</w:t>
            </w:r>
          </w:p>
        </w:tc>
      </w:tr>
      <w:tr>
        <w:trPr>
          <w:tblHeader w:val="false"/>
        </w:trPr>
        <w:tc>
          <w:tcPr>
            <w:tcW w:type="pct" w:w="4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</w:rPr>
              <w:t xml:space="preserve">Кнопка «Подписать» неактивна</w:t>
            </w:r>
          </w:p>
        </w:tc>
        <w:tc>
          <w:tcPr>
            <w:tcW w:type="pct" w:w="5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</w:rPr>
              <w:t xml:space="preserve">Не все разделы пройдены до конца. Вернитесь и убедитесь, что каждый шаг сохранён. Поля, отмеченные красным, обязательны к заполнению.</w:t>
            </w:r>
          </w:p>
        </w:tc>
      </w:tr>
      <w:tr>
        <w:trPr>
          <w:tblHeader w:val="false"/>
        </w:trPr>
        <w:tc>
          <w:tcPr>
            <w:tcW w:type="pct" w:w="4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</w:rPr>
              <w:t xml:space="preserve">Ошибка 403 / Нет доступа</w:t>
            </w:r>
          </w:p>
        </w:tc>
        <w:tc>
          <w:tcPr>
            <w:tcW w:type="pct" w:w="5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</w:rPr>
              <w:t xml:space="preserve">Вы не переключились на роль организации в Госуслугах. Выйдите, войдите заново как организация, повторите.</w:t>
            </w:r>
          </w:p>
        </w:tc>
      </w:tr>
      <w:tr>
        <w:trPr>
          <w:tblHeader w:val="false"/>
        </w:trPr>
        <w:tc>
          <w:tcPr>
            <w:tcW w:type="pct" w:w="4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</w:rPr>
              <w:t xml:space="preserve">Черновик не отображается</w:t>
            </w:r>
          </w:p>
        </w:tc>
        <w:tc>
          <w:tcPr>
            <w:tcW w:type="pct" w:w="5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</w:rPr>
              <w:t xml:space="preserve">Проверьте фильтр статуса в списке деклараций. Возможно, декларация уже зарегистрирована — посмотрите в статусе «Действует» или «Архив».</w:t>
            </w:r>
          </w:p>
        </w:tc>
      </w:tr>
    </w:tbl>
    <w:p>
      <w:pPr>
        <w:spacing w:after="80"/>
      </w:pPr>
    </w:p>
    <w:p>
      <w:pPr>
        <w:spacing w:after="140"/>
        <w:ind w:firstLine="0"/>
      </w:pPr>
      <w:r>
        <w:rPr>
          <w:b w:val="false"/>
          <w:bCs w:val="false"/>
          <w:i w:val="false"/>
          <w:iCs w:val="false"/>
        </w:rPr>
        <w:t xml:space="preserve">Официальное руководство пользователя по СРД доступно на сайте fsa.gov.ru в разделе «Документы». Служба технической поддержки ФГИС Росаккредитации: support.fsa.gov.ru.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rFonts w:ascii="Calibri" w:cs="Calibri" w:eastAsia="Calibri" w:hAnsi="Calibri"/>
      <w:b/>
      <w:bCs/>
      <w:color w:val="1F3552"/>
      <w:sz w:val="36"/>
      <w:szCs w:val="36"/>
    </w:rPr>
  </w:style>
  <w:style w:type="paragraph" w:styleId="Heading2">
    <w:name w:val="Heading 2"/>
    <w:basedOn w:val="Normal"/>
    <w:next w:val="Normal"/>
    <w:qFormat/>
    <w:rPr>
      <w:rFonts w:ascii="Calibri" w:cs="Calibri" w:eastAsia="Calibri" w:hAnsi="Calibri"/>
      <w:b/>
      <w:bCs/>
      <w:color w:val="1F3552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Calibri" w:cs="Calibri" w:eastAsia="Calibri" w:hAnsi="Calibri"/>
      <w:b/>
      <w:bCs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Подписание декларации о соответствии ТР ТС в СРД</dc:title>
  <dc:creator>MultiTool</dc:creator>
  <cp:lastModifiedBy>Un-named</cp:lastModifiedBy>
  <cp:revision>1</cp:revision>
  <dcterms:created xsi:type="dcterms:W3CDTF">2026-10-18T23:40:23.065Z</dcterms:created>
  <dcterms:modified xsi:type="dcterms:W3CDTF">2026-10-18T23:40:23.066Z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